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cauti-rounds-handout-pocket-version"/>
    <w:p>
      <w:pPr>
        <w:pStyle w:val="Heading1"/>
      </w:pPr>
      <w:r>
        <w:t xml:space="preserve">CAUTI Rounds Handout (Pocket Version)</w:t>
      </w:r>
    </w:p>
    <w:p>
      <w:pPr>
        <w:pStyle w:val="FirstParagraph"/>
      </w:pPr>
      <w:r>
        <w:rPr>
          <w:b/>
          <w:bCs/>
        </w:rPr>
        <w:t xml:space="preserve">Use during SICU rounds in &lt;60 seconds.</w:t>
      </w:r>
      <w:r>
        <w:t xml:space="preserve"> </w:t>
      </w:r>
      <w:r>
        <w:rPr>
          <w:b/>
          <w:bCs/>
        </w:rPr>
        <w:t xml:space="preserve">Goal:</w:t>
      </w:r>
      <w:r>
        <w:t xml:space="preserve"> </w:t>
      </w:r>
      <w:r>
        <w:t xml:space="preserve">Stop non-indicated UA/urine culture orders and reduce false CAUTI labeling.</w:t>
      </w:r>
    </w:p>
    <w:bookmarkStart w:id="20" w:name="foley-use-check"/>
    <w:p>
      <w:pPr>
        <w:pStyle w:val="Heading2"/>
      </w:pPr>
      <w:r>
        <w:t xml:space="preserve">Foley Use Check</w:t>
      </w:r>
    </w:p>
    <w:p>
      <w:pPr>
        <w:pStyle w:val="Compact"/>
        <w:numPr>
          <w:ilvl w:val="0"/>
          <w:numId w:val="1001"/>
        </w:numPr>
      </w:pPr>
      <w:r>
        <w:t xml:space="preserve">Is there a valid current indication today?</w:t>
      </w:r>
    </w:p>
    <w:p>
      <w:pPr>
        <w:pStyle w:val="Compact"/>
        <w:numPr>
          <w:ilvl w:val="0"/>
          <w:numId w:val="1001"/>
        </w:numPr>
      </w:pPr>
      <w:r>
        <w:t xml:space="preserve">Is the indication documented in chart today?</w:t>
      </w:r>
    </w:p>
    <w:p>
      <w:pPr>
        <w:pStyle w:val="Compact"/>
        <w:numPr>
          <w:ilvl w:val="0"/>
          <w:numId w:val="1001"/>
        </w:numPr>
      </w:pPr>
      <w:r>
        <w:t xml:space="preserve">If no valid indication, remove now.</w:t>
      </w:r>
    </w:p>
    <w:bookmarkEnd w:id="20"/>
    <w:bookmarkStart w:id="21" w:name="urine-culture-check"/>
    <w:p>
      <w:pPr>
        <w:pStyle w:val="Heading2"/>
      </w:pPr>
      <w:r>
        <w:t xml:space="preserve">Urine Culture Check</w:t>
      </w:r>
    </w:p>
    <w:p>
      <w:pPr>
        <w:pStyle w:val="Compact"/>
        <w:numPr>
          <w:ilvl w:val="0"/>
          <w:numId w:val="1002"/>
        </w:numPr>
      </w:pPr>
      <w:r>
        <w:t xml:space="preserve">Is there a plausible urinary source with clinical findings?</w:t>
      </w:r>
    </w:p>
    <w:p>
      <w:pPr>
        <w:pStyle w:val="Compact"/>
        <w:numPr>
          <w:ilvl w:val="0"/>
          <w:numId w:val="1002"/>
        </w:numPr>
      </w:pPr>
      <w:r>
        <w:t xml:space="preserve">Will UA/urine culture result change management now?</w:t>
      </w:r>
    </w:p>
    <w:p>
      <w:pPr>
        <w:pStyle w:val="Compact"/>
        <w:numPr>
          <w:ilvl w:val="0"/>
          <w:numId w:val="1002"/>
        </w:numPr>
      </w:pPr>
      <w:r>
        <w:t xml:space="preserve">In catheterized patients, have non-urinary sources been evaluated first?</w:t>
      </w:r>
    </w:p>
    <w:p>
      <w:pPr>
        <w:pStyle w:val="Compact"/>
        <w:numPr>
          <w:ilvl w:val="0"/>
          <w:numId w:val="1002"/>
        </w:numPr>
      </w:pPr>
      <w:r>
        <w:t xml:space="preserve">If Foley &gt;14 days and culture is truly indicated, replace Foley first and culture from new catheter.</w:t>
      </w:r>
    </w:p>
    <w:bookmarkEnd w:id="21"/>
    <w:bookmarkStart w:id="22" w:name="X36b0d1497ec1ffd29574e4d90946766371c34e6"/>
    <w:p>
      <w:pPr>
        <w:pStyle w:val="Heading2"/>
      </w:pPr>
      <w:r>
        <w:t xml:space="preserve">Hard Stops: Do Not Order UA/Urine Culture For These Alone</w:t>
      </w:r>
    </w:p>
    <w:p>
      <w:pPr>
        <w:pStyle w:val="Compact"/>
        <w:numPr>
          <w:ilvl w:val="0"/>
          <w:numId w:val="1003"/>
        </w:numPr>
      </w:pPr>
      <w:r>
        <w:t xml:space="preserve">Cloudy or foul-smelling urine alone. [Q1]</w:t>
      </w:r>
    </w:p>
    <w:p>
      <w:pPr>
        <w:pStyle w:val="Compact"/>
        <w:numPr>
          <w:ilvl w:val="0"/>
          <w:numId w:val="1003"/>
        </w:numPr>
      </w:pPr>
      <w:r>
        <w:t xml:space="preserve">Dark/discolored urine alone. [Q2]</w:t>
      </w:r>
    </w:p>
    <w:p>
      <w:pPr>
        <w:pStyle w:val="Compact"/>
        <w:numPr>
          <w:ilvl w:val="0"/>
          <w:numId w:val="1003"/>
        </w:numPr>
      </w:pPr>
      <w:r>
        <w:t xml:space="preserve">Sediment, turbidity, or</w:t>
      </w:r>
      <w:r>
        <w:t xml:space="preserve"> </w:t>
      </w:r>
      <w:r>
        <w:t xml:space="preserve">“dirty-looking”</w:t>
      </w:r>
      <w:r>
        <w:t xml:space="preserve"> </w:t>
      </w:r>
      <w:r>
        <w:t xml:space="preserve">urine alone. [Q3]</w:t>
      </w:r>
    </w:p>
    <w:p>
      <w:pPr>
        <w:pStyle w:val="Compact"/>
        <w:numPr>
          <w:ilvl w:val="0"/>
          <w:numId w:val="1003"/>
        </w:numPr>
      </w:pPr>
      <w:r>
        <w:t xml:space="preserve">Pyuria alone in a catheterized patient. [Q4][Q5]</w:t>
      </w:r>
    </w:p>
    <w:p>
      <w:pPr>
        <w:pStyle w:val="Compact"/>
        <w:numPr>
          <w:ilvl w:val="0"/>
          <w:numId w:val="1003"/>
        </w:numPr>
      </w:pPr>
      <w:r>
        <w:t xml:space="preserve">Candida in urine without symptomatic UTI criteria.</w:t>
      </w:r>
    </w:p>
    <w:bookmarkEnd w:id="22"/>
    <w:bookmarkStart w:id="23" w:name="do-not-do"/>
    <w:p>
      <w:pPr>
        <w:pStyle w:val="Heading2"/>
      </w:pPr>
      <w:r>
        <w:t xml:space="preserve">Do Not Do</w:t>
      </w:r>
    </w:p>
    <w:p>
      <w:pPr>
        <w:pStyle w:val="Compact"/>
        <w:numPr>
          <w:ilvl w:val="0"/>
          <w:numId w:val="1004"/>
        </w:numPr>
      </w:pPr>
      <w:r>
        <w:t xml:space="preserve">Do not culture from drainage bag.</w:t>
      </w:r>
    </w:p>
    <w:p>
      <w:pPr>
        <w:pStyle w:val="Compact"/>
        <w:numPr>
          <w:ilvl w:val="0"/>
          <w:numId w:val="1004"/>
        </w:numPr>
      </w:pPr>
      <w:r>
        <w:t xml:space="preserve">Do not reflexively order urine culture for isolated single fever without clinical context.</w:t>
      </w:r>
    </w:p>
    <w:p>
      <w:pPr>
        <w:pStyle w:val="Compact"/>
        <w:numPr>
          <w:ilvl w:val="0"/>
          <w:numId w:val="1004"/>
        </w:numPr>
      </w:pPr>
      <w:r>
        <w:t xml:space="preserve">Do not label candiduria as CAUTI without criteria.</w:t>
      </w:r>
    </w:p>
    <w:p>
      <w:pPr>
        <w:pStyle w:val="Compact"/>
        <w:numPr>
          <w:ilvl w:val="0"/>
          <w:numId w:val="1004"/>
        </w:numPr>
      </w:pPr>
      <w:r>
        <w:t xml:space="preserve">Do not continue Foley</w:t>
      </w:r>
      <w:r>
        <w:t xml:space="preserve"> </w:t>
      </w:r>
      <w:r>
        <w:t xml:space="preserve">“just to trend urine quality.”</w:t>
      </w:r>
    </w:p>
    <w:bookmarkEnd w:id="23"/>
    <w:bookmarkStart w:id="24" w:name="escalate-before-ordering"/>
    <w:p>
      <w:pPr>
        <w:pStyle w:val="Heading2"/>
      </w:pPr>
      <w:r>
        <w:t xml:space="preserve">Escalate Before Ordering</w:t>
      </w:r>
    </w:p>
    <w:p>
      <w:pPr>
        <w:pStyle w:val="Compact"/>
        <w:numPr>
          <w:ilvl w:val="0"/>
          <w:numId w:val="1005"/>
        </w:numPr>
      </w:pPr>
      <w:r>
        <w:t xml:space="preserve">If uncertain, discuss with attending/APP before placing UA/culture order.</w:t>
      </w:r>
    </w:p>
    <w:p>
      <w:pPr>
        <w:pStyle w:val="Compact"/>
        <w:numPr>
          <w:ilvl w:val="0"/>
          <w:numId w:val="1005"/>
        </w:numPr>
      </w:pPr>
      <w:r>
        <w:t xml:space="preserve">Document one sentence:</w:t>
      </w:r>
      <w:r>
        <w:t xml:space="preserve"> </w:t>
      </w:r>
      <w:r>
        <w:t xml:space="preserve">“How will this result change management?”</w:t>
      </w:r>
    </w:p>
    <w:bookmarkEnd w:id="24"/>
    <w:bookmarkStart w:id="25" w:name="daily-metrics-to-record"/>
    <w:p>
      <w:pPr>
        <w:pStyle w:val="Heading2"/>
      </w:pPr>
      <w:r>
        <w:t xml:space="preserve">Daily Metrics to Record</w:t>
      </w:r>
    </w:p>
    <w:p>
      <w:pPr>
        <w:pStyle w:val="Compact"/>
        <w:numPr>
          <w:ilvl w:val="0"/>
          <w:numId w:val="1006"/>
        </w:numPr>
      </w:pPr>
      <w:r>
        <w:t xml:space="preserve">Foley-days with documented indication: Yes/No.</w:t>
      </w:r>
    </w:p>
    <w:p>
      <w:pPr>
        <w:pStyle w:val="Compact"/>
        <w:numPr>
          <w:ilvl w:val="0"/>
          <w:numId w:val="1006"/>
        </w:numPr>
      </w:pPr>
      <w:r>
        <w:t xml:space="preserve">UA/culture orders with documented urinary indication: Yes/No.</w:t>
      </w:r>
    </w:p>
    <w:bookmarkEnd w:id="25"/>
    <w:bookmarkStart w:id="26" w:name="direct-quote-references"/>
    <w:p>
      <w:pPr>
        <w:pStyle w:val="Heading2"/>
      </w:pPr>
      <w:r>
        <w:t xml:space="preserve">Direct Quote References</w:t>
      </w:r>
    </w:p>
    <w:p>
      <w:pPr>
        <w:pStyle w:val="Compact"/>
        <w:numPr>
          <w:ilvl w:val="0"/>
          <w:numId w:val="1007"/>
        </w:numPr>
      </w:pPr>
      <w:r>
        <w:t xml:space="preserve">[Q1] IDSA CAUTI guideline:</w:t>
      </w:r>
      <w:r>
        <w:t xml:space="preserve"> </w:t>
      </w:r>
      <w:r>
        <w:t xml:space="preserve">“odorous or cloudy urine alone should not be used … as an indication for urine culture.”</w:t>
      </w:r>
      <w:r>
        <w:br/>
      </w:r>
      <w:r>
        <w:t xml:space="preserve">https://academic.oup.com/cid/article/50/5/625/324341</w:t>
      </w:r>
    </w:p>
    <w:p>
      <w:pPr>
        <w:pStyle w:val="Compact"/>
        <w:numPr>
          <w:ilvl w:val="0"/>
          <w:numId w:val="1007"/>
        </w:numPr>
      </w:pPr>
      <w:r>
        <w:t xml:space="preserve">[Q2] CDC stewardship page:</w:t>
      </w:r>
      <w:r>
        <w:t xml:space="preserve"> </w:t>
      </w:r>
      <w:r>
        <w:t xml:space="preserve">“Odorous, cloudy, or discolored urine in the absence of other localizing signs/symptoms.”</w:t>
      </w:r>
      <w:r>
        <w:br/>
      </w:r>
      <w:r>
        <w:t xml:space="preserve">https://www.cdc.gov/uti/hcp/clinical-guidance/culture-stewardship-strategize.html</w:t>
      </w:r>
    </w:p>
    <w:p>
      <w:pPr>
        <w:pStyle w:val="Compact"/>
        <w:numPr>
          <w:ilvl w:val="0"/>
          <w:numId w:val="1007"/>
        </w:numPr>
      </w:pPr>
      <w:r>
        <w:t xml:space="preserve">[Q3] AHRQ CAUTI stewardship:</w:t>
      </w:r>
      <w:r>
        <w:t xml:space="preserve"> </w:t>
      </w:r>
      <w:r>
        <w:t xml:space="preserve">“Urine quality: color, smell, sediments, turbidity … do not constitute signs of infection.”</w:t>
      </w:r>
      <w:r>
        <w:br/>
      </w:r>
      <w:r>
        <w:t xml:space="preserve">https://www.ahrq.gov/hai/cauti-tools/phys-championsgd/section7.html</w:t>
      </w:r>
    </w:p>
    <w:p>
      <w:pPr>
        <w:pStyle w:val="Compact"/>
        <w:numPr>
          <w:ilvl w:val="0"/>
          <w:numId w:val="1007"/>
        </w:numPr>
      </w:pPr>
      <w:r>
        <w:t xml:space="preserve">[Q4] IDSA CAUTI guideline:</w:t>
      </w:r>
      <w:r>
        <w:t xml:space="preserve"> </w:t>
      </w:r>
      <w:r>
        <w:t xml:space="preserve">“In the catheterized patient, pyuria is not diagnostic of CA-bacteriuria or CA-UTI.”</w:t>
      </w:r>
      <w:r>
        <w:br/>
      </w:r>
      <w:r>
        <w:t xml:space="preserve">https://academic.oup.com/cid/article/50/5/625/324341</w:t>
      </w:r>
    </w:p>
    <w:p>
      <w:pPr>
        <w:pStyle w:val="Compact"/>
        <w:numPr>
          <w:ilvl w:val="0"/>
          <w:numId w:val="1007"/>
        </w:numPr>
      </w:pPr>
      <w:r>
        <w:t xml:space="preserve">[Q5] CDC stewardship page:</w:t>
      </w:r>
      <w:r>
        <w:t xml:space="preserve"> </w:t>
      </w:r>
      <w:r>
        <w:t xml:space="preserve">“Pyuria alone not diagnostic.”</w:t>
      </w:r>
      <w:r>
        <w:br/>
      </w:r>
      <w:r>
        <w:t xml:space="preserve">https://www.cdc.gov/uti/hcp/clinical-guidance/culture-stewardship-strategize.html</w:t>
      </w:r>
    </w:p>
    <w:p>
      <w:pPr>
        <w:pStyle w:val="FirstParagraph"/>
      </w:pPr>
      <w:r>
        <w:t xml:space="preserve">Full reference appendix: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2026-02-26_ua-culture-hard-stop_reference-quotes.md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2026-02-26T18:16:06Z</dcterms:created>
  <dcterms:modified xsi:type="dcterms:W3CDTF">2026-02-26T18:16:06Z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